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67BE" w:rsidRDefault="008867BE" w:rsidP="008867B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4C16">
        <w:rPr>
          <w:rFonts w:ascii="Times New Roman" w:hAnsi="Times New Roman" w:cs="Times New Roman"/>
          <w:b/>
          <w:sz w:val="24"/>
          <w:szCs w:val="24"/>
        </w:rPr>
        <w:t xml:space="preserve">OBRAZLOŽENJE OPĆEG DIJELA FINANCIJSKOG PLANA </w:t>
      </w:r>
      <w:r>
        <w:rPr>
          <w:rFonts w:ascii="Times New Roman" w:hAnsi="Times New Roman" w:cs="Times New Roman"/>
          <w:b/>
          <w:sz w:val="24"/>
          <w:szCs w:val="24"/>
        </w:rPr>
        <w:t>AGENCIJE ZA PLAĆANJA U POLJOPRIVREDI, RIBARSTVU I RURALNOM RAZVOJU</w:t>
      </w:r>
    </w:p>
    <w:p w:rsidR="008867BE" w:rsidRPr="00624C16" w:rsidRDefault="008867BE" w:rsidP="008867B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67BE" w:rsidRDefault="008867BE" w:rsidP="008867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080">
        <w:rPr>
          <w:rFonts w:ascii="Times New Roman" w:hAnsi="Times New Roman" w:cs="Times New Roman"/>
          <w:sz w:val="24"/>
          <w:szCs w:val="24"/>
        </w:rPr>
        <w:t xml:space="preserve">Sukladno članku 36. </w:t>
      </w:r>
      <w:r>
        <w:rPr>
          <w:rFonts w:ascii="Times New Roman" w:hAnsi="Times New Roman" w:cs="Times New Roman"/>
          <w:sz w:val="24"/>
          <w:szCs w:val="24"/>
        </w:rPr>
        <w:t xml:space="preserve">novog </w:t>
      </w:r>
      <w:r w:rsidRPr="00605080">
        <w:rPr>
          <w:rFonts w:ascii="Times New Roman" w:hAnsi="Times New Roman" w:cs="Times New Roman"/>
          <w:sz w:val="24"/>
          <w:szCs w:val="24"/>
        </w:rPr>
        <w:t xml:space="preserve">Zakona o proračunu (NN 144/21) </w:t>
      </w:r>
      <w:r>
        <w:rPr>
          <w:rFonts w:ascii="Times New Roman" w:hAnsi="Times New Roman" w:cs="Times New Roman"/>
          <w:sz w:val="24"/>
          <w:szCs w:val="24"/>
        </w:rPr>
        <w:t xml:space="preserve">u ovom obrazloženju daje se opća slika financijskog plana Agencije za plaćanja u poljoprivredi, ribarstvu i ruralnom razvoju kroz obrazloženje ukupnih prihoda, primitaka, rashoda, prijenosa sredstava iz prethodne i u sljedeću godinu, te stanje ukupnih i dospjelih obveza. </w:t>
      </w:r>
    </w:p>
    <w:p w:rsidR="00A72B99" w:rsidRPr="00444F91" w:rsidRDefault="008867BE" w:rsidP="008867B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2812">
        <w:rPr>
          <w:rFonts w:ascii="Times New Roman" w:hAnsi="Times New Roman" w:cs="Times New Roman"/>
          <w:b/>
          <w:sz w:val="24"/>
          <w:szCs w:val="24"/>
        </w:rPr>
        <w:t>PRIHODI I PRIMICI</w:t>
      </w:r>
    </w:p>
    <w:p w:rsidR="00A72B99" w:rsidRDefault="00A72B99" w:rsidP="008867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Agencija za plaćanja u poljoprivredi, ribarstvu i ruralnom razvoju u narednom trogodišnjem razdoblju planira ostvarivanje prihoda iz slijedećih izvora</w:t>
      </w:r>
      <w:r w:rsidR="00D16E1C">
        <w:rPr>
          <w:rFonts w:ascii="Times New Roman" w:hAnsi="Times New Roman" w:cs="Times New Roman"/>
          <w:sz w:val="24"/>
          <w:szCs w:val="24"/>
        </w:rPr>
        <w:t>:</w:t>
      </w:r>
    </w:p>
    <w:p w:rsidR="00D16E1C" w:rsidRDefault="00D16E1C" w:rsidP="00AC0E7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0E76">
        <w:rPr>
          <w:rFonts w:ascii="Times New Roman" w:hAnsi="Times New Roman" w:cs="Times New Roman"/>
          <w:sz w:val="24"/>
          <w:szCs w:val="24"/>
          <w:u w:val="single"/>
        </w:rPr>
        <w:t>Izvor 51</w:t>
      </w:r>
      <w:r>
        <w:rPr>
          <w:rFonts w:ascii="Times New Roman" w:hAnsi="Times New Roman" w:cs="Times New Roman"/>
          <w:sz w:val="24"/>
          <w:szCs w:val="24"/>
        </w:rPr>
        <w:t xml:space="preserve"> – Pomoći EU – odnosi se refundaciju putnih troškova od strane Europske komisije. Ti prihodi su planirani u svim godinama u istom iznosu</w:t>
      </w:r>
      <w:r w:rsidR="00767BCD">
        <w:rPr>
          <w:rFonts w:ascii="Times New Roman" w:hAnsi="Times New Roman" w:cs="Times New Roman"/>
          <w:sz w:val="24"/>
          <w:szCs w:val="24"/>
        </w:rPr>
        <w:t xml:space="preserve"> od 21.236 EUR-a</w:t>
      </w:r>
      <w:r>
        <w:rPr>
          <w:rFonts w:ascii="Times New Roman" w:hAnsi="Times New Roman" w:cs="Times New Roman"/>
          <w:sz w:val="24"/>
          <w:szCs w:val="24"/>
        </w:rPr>
        <w:t xml:space="preserve">. Povećani su odnosu na realizaciju 2021.g. i 2022.g. jer zbog </w:t>
      </w:r>
      <w:proofErr w:type="spellStart"/>
      <w:r>
        <w:rPr>
          <w:rFonts w:ascii="Times New Roman" w:hAnsi="Times New Roman" w:cs="Times New Roman"/>
          <w:sz w:val="24"/>
          <w:szCs w:val="24"/>
        </w:rPr>
        <w:t>pandemije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COVID-19 u tim godinam</w:t>
      </w:r>
      <w:r w:rsidR="00767BCD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nije bilo sastanaka, odnosno održani su puno manjem broju.</w:t>
      </w:r>
      <w:r w:rsidR="00767BCD">
        <w:rPr>
          <w:rFonts w:ascii="Times New Roman" w:hAnsi="Times New Roman" w:cs="Times New Roman"/>
          <w:sz w:val="24"/>
          <w:szCs w:val="24"/>
        </w:rPr>
        <w:t xml:space="preserve"> Uglavnom su održavani on-line.</w:t>
      </w:r>
    </w:p>
    <w:p w:rsidR="00D16E1C" w:rsidRPr="00767BCD" w:rsidRDefault="00D16E1C" w:rsidP="00767BC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BCD">
        <w:rPr>
          <w:rFonts w:ascii="Times New Roman" w:hAnsi="Times New Roman" w:cs="Times New Roman"/>
          <w:sz w:val="24"/>
          <w:szCs w:val="24"/>
          <w:u w:val="single"/>
        </w:rPr>
        <w:t>Izvor 52</w:t>
      </w:r>
      <w:r w:rsidRPr="00767BCD">
        <w:rPr>
          <w:rFonts w:ascii="Times New Roman" w:hAnsi="Times New Roman" w:cs="Times New Roman"/>
          <w:sz w:val="24"/>
          <w:szCs w:val="24"/>
        </w:rPr>
        <w:t xml:space="preserve"> – Ostale pomoći – odnosi se na prijenos sredstava od strane MINGOR-a za realizaciju projekta Hrvatski zemljišni informacijski sustav CROLIS (program LIFE). Za provedbu ovog projekta, Ministarstvo gospodarstva i održivog razvoja je u rujnu 2020. godine sklopilo ugovor s Europskom komisijom, odnosno Agencijom za malo i srednje poduzetništvo, a partneri na projektu su Hrvatske šume d.o.o., Državna geodetska uprava, Agencija za plaćanje u poljoprivredi, ribarstvu i ruralnom razvoju i </w:t>
      </w:r>
      <w:proofErr w:type="spellStart"/>
      <w:r w:rsidRPr="00767BCD">
        <w:rPr>
          <w:rFonts w:ascii="Times New Roman" w:hAnsi="Times New Roman" w:cs="Times New Roman"/>
          <w:sz w:val="24"/>
          <w:szCs w:val="24"/>
        </w:rPr>
        <w:t>Ekonerg</w:t>
      </w:r>
      <w:proofErr w:type="spellEnd"/>
      <w:r w:rsidRPr="00767BCD">
        <w:rPr>
          <w:rFonts w:ascii="Times New Roman" w:hAnsi="Times New Roman" w:cs="Times New Roman"/>
          <w:sz w:val="24"/>
          <w:szCs w:val="24"/>
        </w:rPr>
        <w:t xml:space="preserve"> d.o.o. Za projekt ukupne vrijednosti 46.865.513,00 kn, iz EU sredstava je osigurano LIFE financiranje od 35.293.733,00 kn, dok  Fond za zaštitu okoliša i energetsku učinkovitost sudjeluje sa 7.109.595,00 kn odnosno gotovo s 21% financiranja prihvatljivih troškova. Za Agenciju za plaćanja u poljoprivredi osigurano je ukupno </w:t>
      </w:r>
      <w:r w:rsidR="00F27344" w:rsidRPr="00767BCD">
        <w:rPr>
          <w:rFonts w:ascii="Times New Roman" w:hAnsi="Times New Roman" w:cs="Times New Roman"/>
          <w:sz w:val="24"/>
          <w:szCs w:val="24"/>
        </w:rPr>
        <w:t>4.547.950,25 kn koji se sukcesivno isplaćuju kroz godine trajanja projekta. Posljednja isplata planirana je za 2024.g. kada se planira konačan obračun projekta.</w:t>
      </w:r>
      <w:r w:rsidRPr="00767BCD">
        <w:rPr>
          <w:rFonts w:ascii="Times New Roman" w:hAnsi="Times New Roman" w:cs="Times New Roman"/>
          <w:sz w:val="24"/>
          <w:szCs w:val="24"/>
        </w:rPr>
        <w:t xml:space="preserve"> Provedba projekta trajat će do 30.04.2024.g.</w:t>
      </w:r>
      <w:r w:rsidR="00F27344" w:rsidRPr="00767BCD">
        <w:rPr>
          <w:rFonts w:ascii="Times New Roman" w:hAnsi="Times New Roman" w:cs="Times New Roman"/>
          <w:sz w:val="24"/>
          <w:szCs w:val="24"/>
        </w:rPr>
        <w:t xml:space="preserve"> te stog u 2025.g. nisu planirana sredstva iz ovog izvora.</w:t>
      </w:r>
      <w:r w:rsidR="00767BCD" w:rsidRPr="00767BCD">
        <w:rPr>
          <w:rFonts w:ascii="Times New Roman" w:hAnsi="Times New Roman" w:cs="Times New Roman"/>
          <w:sz w:val="24"/>
          <w:szCs w:val="24"/>
        </w:rPr>
        <w:t xml:space="preserve"> </w:t>
      </w:r>
      <w:r w:rsidR="00767BCD" w:rsidRPr="00767BCD">
        <w:rPr>
          <w:rFonts w:ascii="Times New Roman" w:hAnsi="Times New Roman" w:cs="Times New Roman"/>
          <w:sz w:val="24"/>
          <w:szCs w:val="24"/>
        </w:rPr>
        <w:t xml:space="preserve">2025. g. Agencija ne planira ostvarivanje prihoda iz izvora 52 jer projekt CROLIS završava 2024.g. Aktivnost T841008 trebala bi postati redovna aktivnost Agencije za plaćanja koja će se financirati iz nadležnog proračuna. </w:t>
      </w:r>
    </w:p>
    <w:p w:rsidR="00F27344" w:rsidRDefault="00F27344" w:rsidP="00AC0E7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0E76">
        <w:rPr>
          <w:rFonts w:ascii="Times New Roman" w:hAnsi="Times New Roman" w:cs="Times New Roman"/>
          <w:sz w:val="24"/>
          <w:szCs w:val="24"/>
          <w:u w:val="single"/>
        </w:rPr>
        <w:t xml:space="preserve">Izvor </w:t>
      </w:r>
      <w:r w:rsidR="00FB500B" w:rsidRPr="00AC0E76">
        <w:rPr>
          <w:rFonts w:ascii="Times New Roman" w:hAnsi="Times New Roman" w:cs="Times New Roman"/>
          <w:sz w:val="24"/>
          <w:szCs w:val="24"/>
          <w:u w:val="single"/>
        </w:rPr>
        <w:t>564</w:t>
      </w:r>
      <w:r w:rsidR="00FB500B">
        <w:rPr>
          <w:rFonts w:ascii="Times New Roman" w:hAnsi="Times New Roman" w:cs="Times New Roman"/>
          <w:sz w:val="24"/>
          <w:szCs w:val="24"/>
        </w:rPr>
        <w:t xml:space="preserve"> – Europski fond za pomorstvo i ribarstvo </w:t>
      </w:r>
      <w:r w:rsidR="00F36A78">
        <w:rPr>
          <w:rFonts w:ascii="Times New Roman" w:hAnsi="Times New Roman" w:cs="Times New Roman"/>
          <w:sz w:val="24"/>
          <w:szCs w:val="24"/>
        </w:rPr>
        <w:t>–</w:t>
      </w:r>
      <w:r w:rsidR="00767BCD">
        <w:rPr>
          <w:rFonts w:ascii="Times New Roman" w:hAnsi="Times New Roman" w:cs="Times New Roman"/>
          <w:sz w:val="24"/>
          <w:szCs w:val="24"/>
        </w:rPr>
        <w:t xml:space="preserve"> </w:t>
      </w:r>
      <w:r w:rsidR="00FB500B" w:rsidRPr="00FB500B">
        <w:rPr>
          <w:rFonts w:ascii="Times New Roman" w:hAnsi="Times New Roman" w:cs="Times New Roman"/>
          <w:sz w:val="24"/>
          <w:szCs w:val="24"/>
        </w:rPr>
        <w:t>aktivnosti u vezi s pripremom, praćenjem, administrativnom i tehničkom potporom, ocjenjivanjem, revizijom i kontrolom koje su potrebne za provedbu</w:t>
      </w:r>
      <w:r w:rsidR="00F36A78">
        <w:rPr>
          <w:rFonts w:ascii="Times New Roman" w:hAnsi="Times New Roman" w:cs="Times New Roman"/>
          <w:sz w:val="24"/>
          <w:szCs w:val="24"/>
        </w:rPr>
        <w:t xml:space="preserve"> </w:t>
      </w:r>
      <w:r w:rsidR="00F36A78" w:rsidRPr="00F36A78">
        <w:rPr>
          <w:rFonts w:ascii="Times New Roman" w:hAnsi="Times New Roman" w:cs="Times New Roman"/>
          <w:sz w:val="24"/>
          <w:szCs w:val="24"/>
        </w:rPr>
        <w:t>Uredbe (EU) br. 1303/2013 Europskog parlamenta i Vijeća od 17. prosinca 2013.)</w:t>
      </w:r>
      <w:r w:rsidR="00FB500B" w:rsidRPr="00FB500B">
        <w:rPr>
          <w:rFonts w:ascii="Times New Roman" w:hAnsi="Times New Roman" w:cs="Times New Roman"/>
          <w:sz w:val="24"/>
          <w:szCs w:val="24"/>
        </w:rPr>
        <w:t>.</w:t>
      </w:r>
      <w:r w:rsidR="00F36A78">
        <w:rPr>
          <w:rFonts w:ascii="Times New Roman" w:hAnsi="Times New Roman" w:cs="Times New Roman"/>
          <w:sz w:val="24"/>
          <w:szCs w:val="24"/>
        </w:rPr>
        <w:t xml:space="preserve"> Sredstva potpore osiguravaju se u omjeru 75 (sredstva Fonda):25 (državni proračun RH)</w:t>
      </w:r>
      <w:r w:rsidR="00767BCD">
        <w:rPr>
          <w:rFonts w:ascii="Times New Roman" w:hAnsi="Times New Roman" w:cs="Times New Roman"/>
          <w:sz w:val="24"/>
          <w:szCs w:val="24"/>
        </w:rPr>
        <w:t>. Sredstva planirana na ovom izvoru u svim godinama 2023-2025. iznose ukupno 286.631 EUR-a ( 283.645 EUR-a za tekuće pomoći te 2.986 EUR-a za kapitalne pomoći).</w:t>
      </w:r>
    </w:p>
    <w:p w:rsidR="00AC0E76" w:rsidRDefault="00F36A78" w:rsidP="00AC0E7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0E76">
        <w:rPr>
          <w:rFonts w:ascii="Times New Roman" w:hAnsi="Times New Roman" w:cs="Times New Roman"/>
          <w:sz w:val="24"/>
          <w:szCs w:val="24"/>
          <w:u w:val="single"/>
        </w:rPr>
        <w:t>Izvor 565</w:t>
      </w:r>
      <w:r w:rsidRPr="00AC0E76">
        <w:rPr>
          <w:rFonts w:ascii="Times New Roman" w:hAnsi="Times New Roman" w:cs="Times New Roman"/>
          <w:sz w:val="24"/>
          <w:szCs w:val="24"/>
        </w:rPr>
        <w:t xml:space="preserve"> – Europski poljoprivredni fond za ruralni razvoj - Sukladno Programu korisnici mjere TP su Ministarstvo poljoprivrede (Upravlja</w:t>
      </w:r>
      <w:r w:rsidRPr="00AC0E76">
        <w:rPr>
          <w:rFonts w:ascii="Times New Roman" w:hAnsi="Times New Roman" w:cs="Times New Roman" w:hint="eastAsia"/>
          <w:sz w:val="24"/>
          <w:szCs w:val="24"/>
        </w:rPr>
        <w:t>č</w:t>
      </w:r>
      <w:r w:rsidRPr="00AC0E76">
        <w:rPr>
          <w:rFonts w:ascii="Times New Roman" w:hAnsi="Times New Roman" w:cs="Times New Roman"/>
          <w:sz w:val="24"/>
          <w:szCs w:val="24"/>
        </w:rPr>
        <w:t>ko tijelo i odre</w:t>
      </w:r>
      <w:r w:rsidRPr="00AC0E76">
        <w:rPr>
          <w:rFonts w:ascii="Times New Roman" w:hAnsi="Times New Roman" w:cs="Times New Roman" w:hint="eastAsia"/>
          <w:sz w:val="24"/>
          <w:szCs w:val="24"/>
        </w:rPr>
        <w:t>đ</w:t>
      </w:r>
      <w:r w:rsidRPr="00AC0E76">
        <w:rPr>
          <w:rFonts w:ascii="Times New Roman" w:hAnsi="Times New Roman" w:cs="Times New Roman"/>
          <w:sz w:val="24"/>
          <w:szCs w:val="24"/>
        </w:rPr>
        <w:t>eni slu</w:t>
      </w:r>
      <w:r w:rsidRPr="00AC0E76">
        <w:rPr>
          <w:rFonts w:ascii="Times New Roman" w:hAnsi="Times New Roman" w:cs="Times New Roman" w:hint="eastAsia"/>
          <w:sz w:val="24"/>
          <w:szCs w:val="24"/>
        </w:rPr>
        <w:t>ž</w:t>
      </w:r>
      <w:r w:rsidRPr="00AC0E76">
        <w:rPr>
          <w:rFonts w:ascii="Times New Roman" w:hAnsi="Times New Roman" w:cs="Times New Roman"/>
          <w:sz w:val="24"/>
          <w:szCs w:val="24"/>
        </w:rPr>
        <w:t>benici drugih organizacijskih jedinica Ministarstva poljoprivrede koje obavljaju dio poslova vezanih uz pripremu za novo programsko razdoblje te organizacijska jedinica nadle</w:t>
      </w:r>
      <w:r w:rsidRPr="00AC0E76">
        <w:rPr>
          <w:rFonts w:ascii="Times New Roman" w:hAnsi="Times New Roman" w:cs="Times New Roman" w:hint="eastAsia"/>
          <w:sz w:val="24"/>
          <w:szCs w:val="24"/>
        </w:rPr>
        <w:t>ž</w:t>
      </w:r>
      <w:r w:rsidRPr="00AC0E76">
        <w:rPr>
          <w:rFonts w:ascii="Times New Roman" w:hAnsi="Times New Roman" w:cs="Times New Roman"/>
          <w:sz w:val="24"/>
          <w:szCs w:val="24"/>
        </w:rPr>
        <w:t>na za poslove akreditacije Agencije za pla</w:t>
      </w:r>
      <w:r w:rsidRPr="00AC0E76">
        <w:rPr>
          <w:rFonts w:ascii="Times New Roman" w:hAnsi="Times New Roman" w:cs="Times New Roman" w:hint="eastAsia"/>
          <w:sz w:val="24"/>
          <w:szCs w:val="24"/>
        </w:rPr>
        <w:t>ć</w:t>
      </w:r>
      <w:r w:rsidRPr="00AC0E76">
        <w:rPr>
          <w:rFonts w:ascii="Times New Roman" w:hAnsi="Times New Roman" w:cs="Times New Roman"/>
          <w:sz w:val="24"/>
          <w:szCs w:val="24"/>
        </w:rPr>
        <w:t>anja) i Agencija za pla</w:t>
      </w:r>
      <w:r w:rsidRPr="00AC0E76">
        <w:rPr>
          <w:rFonts w:ascii="Times New Roman" w:hAnsi="Times New Roman" w:cs="Times New Roman" w:hint="eastAsia"/>
          <w:sz w:val="24"/>
          <w:szCs w:val="24"/>
        </w:rPr>
        <w:t>ć</w:t>
      </w:r>
      <w:r w:rsidRPr="00AC0E76">
        <w:rPr>
          <w:rFonts w:ascii="Times New Roman" w:hAnsi="Times New Roman" w:cs="Times New Roman"/>
          <w:sz w:val="24"/>
          <w:szCs w:val="24"/>
        </w:rPr>
        <w:t>anja. Za sedmogodi</w:t>
      </w:r>
      <w:r w:rsidRPr="00AC0E76">
        <w:rPr>
          <w:rFonts w:ascii="Times New Roman" w:hAnsi="Times New Roman" w:cs="Times New Roman" w:hint="eastAsia"/>
          <w:sz w:val="24"/>
          <w:szCs w:val="24"/>
        </w:rPr>
        <w:t>š</w:t>
      </w:r>
      <w:r w:rsidRPr="00AC0E76">
        <w:rPr>
          <w:rFonts w:ascii="Times New Roman" w:hAnsi="Times New Roman" w:cs="Times New Roman"/>
          <w:sz w:val="24"/>
          <w:szCs w:val="24"/>
        </w:rPr>
        <w:t>nje razdoblje, sukladno Programu, Hrvatska na raspolaganju ima (zajedno EU i</w:t>
      </w:r>
      <w:r w:rsidR="00AC0E76" w:rsidRPr="00AC0E76">
        <w:rPr>
          <w:rFonts w:ascii="Times New Roman" w:hAnsi="Times New Roman" w:cs="Times New Roman"/>
          <w:sz w:val="24"/>
          <w:szCs w:val="24"/>
        </w:rPr>
        <w:t xml:space="preserve"> </w:t>
      </w:r>
      <w:r w:rsidRPr="00AC0E76">
        <w:rPr>
          <w:rFonts w:ascii="Times New Roman" w:hAnsi="Times New Roman" w:cs="Times New Roman"/>
          <w:sz w:val="24"/>
          <w:szCs w:val="24"/>
        </w:rPr>
        <w:t>RH udjel) 48.914.041,24 EUR, odnosno 371.746.713,42 HRK. Ova ukupno alocirana sredstva</w:t>
      </w:r>
      <w:r w:rsidR="00AC0E76" w:rsidRPr="00AC0E76">
        <w:rPr>
          <w:rFonts w:ascii="Times New Roman" w:hAnsi="Times New Roman" w:cs="Times New Roman"/>
          <w:sz w:val="24"/>
          <w:szCs w:val="24"/>
        </w:rPr>
        <w:t xml:space="preserve"> </w:t>
      </w:r>
      <w:r w:rsidRPr="00AC0E76">
        <w:rPr>
          <w:rFonts w:ascii="Times New Roman" w:hAnsi="Times New Roman" w:cs="Times New Roman"/>
          <w:sz w:val="24"/>
          <w:szCs w:val="24"/>
        </w:rPr>
        <w:t xml:space="preserve">podijeljena su na </w:t>
      </w:r>
      <w:r w:rsidRPr="00AC0E76">
        <w:rPr>
          <w:rFonts w:ascii="Times New Roman" w:hAnsi="Times New Roman" w:cs="Times New Roman" w:hint="eastAsia"/>
          <w:sz w:val="24"/>
          <w:szCs w:val="24"/>
        </w:rPr>
        <w:t>š</w:t>
      </w:r>
      <w:r w:rsidRPr="00AC0E76">
        <w:rPr>
          <w:rFonts w:ascii="Times New Roman" w:hAnsi="Times New Roman" w:cs="Times New Roman"/>
          <w:sz w:val="24"/>
          <w:szCs w:val="24"/>
        </w:rPr>
        <w:t xml:space="preserve">est godina provedbe mjere TP. </w:t>
      </w:r>
      <w:r w:rsidR="00AC0E76" w:rsidRPr="00AC0E76">
        <w:rPr>
          <w:rFonts w:ascii="Times New Roman" w:hAnsi="Times New Roman" w:cs="Times New Roman"/>
          <w:sz w:val="24"/>
          <w:szCs w:val="24"/>
        </w:rPr>
        <w:t>Sredstva potpore osiguravaju se iz prora</w:t>
      </w:r>
      <w:r w:rsidR="00AC0E76" w:rsidRPr="00AC0E76">
        <w:rPr>
          <w:rFonts w:ascii="Times New Roman" w:hAnsi="Times New Roman" w:cs="Times New Roman" w:hint="eastAsia"/>
          <w:sz w:val="24"/>
          <w:szCs w:val="24"/>
        </w:rPr>
        <w:t>č</w:t>
      </w:r>
      <w:r w:rsidR="00AC0E76" w:rsidRPr="00AC0E76">
        <w:rPr>
          <w:rFonts w:ascii="Times New Roman" w:hAnsi="Times New Roman" w:cs="Times New Roman"/>
          <w:sz w:val="24"/>
          <w:szCs w:val="24"/>
        </w:rPr>
        <w:t>una Europske unije (85% udjela) i dr</w:t>
      </w:r>
      <w:r w:rsidR="00AC0E76" w:rsidRPr="00AC0E76">
        <w:rPr>
          <w:rFonts w:ascii="Times New Roman" w:hAnsi="Times New Roman" w:cs="Times New Roman" w:hint="eastAsia"/>
          <w:sz w:val="24"/>
          <w:szCs w:val="24"/>
        </w:rPr>
        <w:t>ž</w:t>
      </w:r>
      <w:r w:rsidR="00AC0E76" w:rsidRPr="00AC0E76">
        <w:rPr>
          <w:rFonts w:ascii="Times New Roman" w:hAnsi="Times New Roman" w:cs="Times New Roman"/>
          <w:sz w:val="24"/>
          <w:szCs w:val="24"/>
        </w:rPr>
        <w:t>avnog prora</w:t>
      </w:r>
      <w:r w:rsidR="00AC0E76" w:rsidRPr="00AC0E76">
        <w:rPr>
          <w:rFonts w:ascii="Times New Roman" w:hAnsi="Times New Roman" w:cs="Times New Roman" w:hint="eastAsia"/>
          <w:sz w:val="24"/>
          <w:szCs w:val="24"/>
        </w:rPr>
        <w:t>č</w:t>
      </w:r>
      <w:r w:rsidR="00AC0E76" w:rsidRPr="00AC0E76">
        <w:rPr>
          <w:rFonts w:ascii="Times New Roman" w:hAnsi="Times New Roman" w:cs="Times New Roman"/>
          <w:sz w:val="24"/>
          <w:szCs w:val="24"/>
        </w:rPr>
        <w:t xml:space="preserve">una </w:t>
      </w:r>
      <w:r w:rsidR="00AC0E76" w:rsidRPr="00AC0E76">
        <w:rPr>
          <w:rFonts w:ascii="Times New Roman" w:hAnsi="Times New Roman" w:cs="Times New Roman"/>
          <w:sz w:val="24"/>
          <w:szCs w:val="24"/>
        </w:rPr>
        <w:lastRenderedPageBreak/>
        <w:t>Republike Hrvatske (15% udjela). Intenzitet potpore iznosi do 100% od ukupnih prihvatljivih troškova.</w:t>
      </w:r>
    </w:p>
    <w:p w:rsidR="00A72B99" w:rsidRDefault="00AC0E76" w:rsidP="00AC0E7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0E76">
        <w:rPr>
          <w:rFonts w:ascii="Times New Roman" w:hAnsi="Times New Roman" w:cs="Times New Roman"/>
          <w:sz w:val="24"/>
          <w:szCs w:val="24"/>
          <w:u w:val="single"/>
        </w:rPr>
        <w:t xml:space="preserve">Izvor 31 </w:t>
      </w:r>
      <w:r w:rsidRPr="00AC0E76">
        <w:rPr>
          <w:rFonts w:ascii="Times New Roman" w:hAnsi="Times New Roman" w:cs="Times New Roman"/>
          <w:sz w:val="24"/>
          <w:szCs w:val="24"/>
        </w:rPr>
        <w:t xml:space="preserve">– Vlastiti prihodi – prihodi ostvareni prometom u internom kafiću. </w:t>
      </w:r>
    </w:p>
    <w:p w:rsidR="00AC0E76" w:rsidRDefault="00AC0E76" w:rsidP="00AC0E7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Izvor 11 </w:t>
      </w:r>
      <w:r>
        <w:rPr>
          <w:rFonts w:ascii="Times New Roman" w:hAnsi="Times New Roman" w:cs="Times New Roman"/>
          <w:sz w:val="24"/>
          <w:szCs w:val="24"/>
        </w:rPr>
        <w:t>– Opći prihodi i primici – prihodi nadležnog proračuna</w:t>
      </w:r>
    </w:p>
    <w:p w:rsidR="00AC0E76" w:rsidRDefault="00AC0E76" w:rsidP="00AC0E7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Izvor 12 </w:t>
      </w:r>
      <w:r>
        <w:rPr>
          <w:rFonts w:ascii="Times New Roman" w:hAnsi="Times New Roman" w:cs="Times New Roman"/>
          <w:sz w:val="24"/>
          <w:szCs w:val="24"/>
        </w:rPr>
        <w:t>– Sredstva učešća za pomoći – prihodi nadležnog proračuna za sufinanciranje Tehničke pomoći u definiranim omjerima.</w:t>
      </w:r>
    </w:p>
    <w:p w:rsidR="00AC0E76" w:rsidRDefault="00AC0E76" w:rsidP="00AC0E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2025. g. Agencija ne planira ostvarivanje prihoda iz izvora 52 jer projekt CROLIS završava 2024.g. Aktivnost T841008 trebala bi postati redovna aktivnost Agencije za plaćanja </w:t>
      </w:r>
      <w:r w:rsidR="00022482">
        <w:rPr>
          <w:rFonts w:ascii="Times New Roman" w:hAnsi="Times New Roman" w:cs="Times New Roman"/>
          <w:sz w:val="24"/>
          <w:szCs w:val="24"/>
        </w:rPr>
        <w:t xml:space="preserve">koja će se financirati iz nadležnog proračuna. </w:t>
      </w:r>
    </w:p>
    <w:p w:rsidR="00A72B99" w:rsidRDefault="00A72B99" w:rsidP="008867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2482" w:rsidRDefault="00022482" w:rsidP="008867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Agencija za plaćanja u poljoprivredi u navedenom razdoblju ne planira dodatno zaduživanje.</w:t>
      </w:r>
    </w:p>
    <w:p w:rsidR="004C1762" w:rsidRDefault="004C1762" w:rsidP="0002248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1762" w:rsidRDefault="004C1762" w:rsidP="0002248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2482" w:rsidRPr="00AE2812" w:rsidRDefault="00022482" w:rsidP="0002248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2812">
        <w:rPr>
          <w:rFonts w:ascii="Times New Roman" w:hAnsi="Times New Roman" w:cs="Times New Roman"/>
          <w:b/>
          <w:sz w:val="24"/>
          <w:szCs w:val="24"/>
        </w:rPr>
        <w:t>RASHODI I IZDACI</w:t>
      </w:r>
    </w:p>
    <w:p w:rsidR="00022482" w:rsidRDefault="00022482" w:rsidP="0002248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Ukupno planirani rashodi u planiranom razdoblju rastu u odnosu na prethodno razdoblje. Najveće povećanje odnosi se na rashode za zaposlene jer se planira ostvariti puna zaposlenost sukladno važećoj sistematizaciji</w:t>
      </w:r>
      <w:r w:rsidR="00757B81">
        <w:rPr>
          <w:rFonts w:ascii="Times New Roman" w:hAnsi="Times New Roman" w:cs="Times New Roman"/>
          <w:sz w:val="24"/>
          <w:szCs w:val="24"/>
        </w:rPr>
        <w:t xml:space="preserve">, kao i </w:t>
      </w:r>
      <w:r>
        <w:rPr>
          <w:rFonts w:ascii="Times New Roman" w:hAnsi="Times New Roman" w:cs="Times New Roman"/>
          <w:sz w:val="24"/>
          <w:szCs w:val="24"/>
        </w:rPr>
        <w:t xml:space="preserve"> zapošljavanje dodatnih 44 ljudi zbog povećanog obima posla na određeno vrijeme</w:t>
      </w:r>
      <w:r w:rsidR="00CA4A37">
        <w:rPr>
          <w:rFonts w:ascii="Times New Roman" w:hAnsi="Times New Roman" w:cs="Times New Roman"/>
          <w:sz w:val="24"/>
          <w:szCs w:val="24"/>
        </w:rPr>
        <w:t xml:space="preserve"> na rok od dvije godine.</w:t>
      </w:r>
    </w:p>
    <w:p w:rsidR="00CA4A37" w:rsidRDefault="00CA4A37" w:rsidP="0002248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Značajno povećanje planirano je na aktivnosti informatizacije zbog nabave nove opreme i zamjene stare (dotrajale) opreme. Također je potrebno zbog provođenja programa povezanih sa sigurnosnom, </w:t>
      </w:r>
      <w:proofErr w:type="spellStart"/>
      <w:r>
        <w:rPr>
          <w:rFonts w:ascii="Times New Roman" w:hAnsi="Times New Roman" w:cs="Times New Roman"/>
          <w:sz w:val="24"/>
          <w:szCs w:val="24"/>
        </w:rPr>
        <w:t>ribarstvenom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poljoprivrednom politikom nadograditi postojeće programe i aplikacije te izgraditi nove</w:t>
      </w:r>
      <w:r w:rsidR="00757B81">
        <w:rPr>
          <w:rFonts w:ascii="Times New Roman" w:hAnsi="Times New Roman" w:cs="Times New Roman"/>
          <w:sz w:val="24"/>
          <w:szCs w:val="24"/>
        </w:rPr>
        <w:t xml:space="preserve"> kako bi se ostvarili ciljevi postavljeni u novom financijskom razdoblju EU i Strateškog plana Zajedničke poljoprivredne politike.</w:t>
      </w:r>
    </w:p>
    <w:p w:rsidR="00757B81" w:rsidRDefault="00757B81" w:rsidP="0002248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Zbog utjecaja inflacije i novih zahtjeva postavljenih Zajedničkom poljoprivrednom politikom, planirani su i povećani troškovi izrade DOF karata i satelitskih snimaka.</w:t>
      </w:r>
    </w:p>
    <w:p w:rsidR="00767BCD" w:rsidRDefault="00767BCD" w:rsidP="0002248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Ukupno povećanje rashoda 2023.g. u odnosu na 2022.g. iznosi 10,66%.</w:t>
      </w:r>
    </w:p>
    <w:p w:rsidR="004C1762" w:rsidRDefault="004C1762" w:rsidP="00757B8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1762" w:rsidRDefault="004C1762" w:rsidP="00757B8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7B81" w:rsidRDefault="00757B81" w:rsidP="00757B8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2812">
        <w:rPr>
          <w:rFonts w:ascii="Times New Roman" w:hAnsi="Times New Roman" w:cs="Times New Roman"/>
          <w:b/>
          <w:sz w:val="24"/>
          <w:szCs w:val="24"/>
        </w:rPr>
        <w:t>PRIJENOS SREDSTAVA IZ PRETHODNE I U SLJEDEĆU GODINU</w:t>
      </w:r>
    </w:p>
    <w:p w:rsidR="00757B81" w:rsidRDefault="00757B81" w:rsidP="00757B8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7B81">
        <w:rPr>
          <w:rFonts w:ascii="Times New Roman" w:hAnsi="Times New Roman" w:cs="Times New Roman"/>
          <w:sz w:val="24"/>
          <w:szCs w:val="24"/>
        </w:rPr>
        <w:t>Agencija za plaćanja u poljoprivredi, ribarstvu i ruralnom razvoju kao partner u projektu CROLIS</w:t>
      </w:r>
      <w:r>
        <w:rPr>
          <w:rFonts w:ascii="Times New Roman" w:hAnsi="Times New Roman" w:cs="Times New Roman"/>
          <w:sz w:val="24"/>
          <w:szCs w:val="24"/>
        </w:rPr>
        <w:t xml:space="preserve"> u 2021.g. zaprimila je prvu „ratu“ sredstava od strane MINGOR-a za financiranje navedenog projekta, sukladno Ugovoru. U 2021.g. sredstva nisu utrošena, stoga su cijelosti </w:t>
      </w:r>
      <w:proofErr w:type="spellStart"/>
      <w:r>
        <w:rPr>
          <w:rFonts w:ascii="Times New Roman" w:hAnsi="Times New Roman" w:cs="Times New Roman"/>
          <w:sz w:val="24"/>
          <w:szCs w:val="24"/>
        </w:rPr>
        <w:t>prenešena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 2022.g. 2022.g. zaposleni su ljudi na projektu, pokrenuti postupci javne nabave, sukladno odredbama Ugovora. Budući da se radi o avansnoj isplati, neutrošena sredstva se prenašaju iz godine u godinu sve do 2025.g. 2024.g. projekat završava i tada će se napraviti konačna bilanca projekta.</w:t>
      </w:r>
    </w:p>
    <w:p w:rsidR="00757B81" w:rsidRPr="00757B81" w:rsidRDefault="00757B81" w:rsidP="00757B8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Ostatak prijenosa sredstava planirana je na izvoru 31</w:t>
      </w:r>
      <w:r w:rsidR="0090010F">
        <w:rPr>
          <w:rFonts w:ascii="Times New Roman" w:hAnsi="Times New Roman" w:cs="Times New Roman"/>
          <w:sz w:val="24"/>
          <w:szCs w:val="24"/>
        </w:rPr>
        <w:t>. radi se o naplaćenim prihodima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010F">
        <w:rPr>
          <w:rFonts w:ascii="Times New Roman" w:hAnsi="Times New Roman" w:cs="Times New Roman"/>
          <w:sz w:val="24"/>
          <w:szCs w:val="24"/>
        </w:rPr>
        <w:t>u prethodnim godinama iz kojih će se u idućim godinama financirati rashodi kojima je dospijeće početkom iduće godine.</w:t>
      </w:r>
    </w:p>
    <w:p w:rsidR="00767BCD" w:rsidRDefault="00767BCD" w:rsidP="009001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7BCD" w:rsidRDefault="00767BCD" w:rsidP="009001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7BCD" w:rsidRDefault="00767BCD" w:rsidP="009001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010F" w:rsidRPr="00186B7B" w:rsidRDefault="0090010F" w:rsidP="009001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6B7B">
        <w:rPr>
          <w:rFonts w:ascii="Times New Roman" w:hAnsi="Times New Roman" w:cs="Times New Roman"/>
          <w:b/>
          <w:sz w:val="24"/>
          <w:szCs w:val="24"/>
        </w:rPr>
        <w:t>UKUPNE I DOSPJELE OBVEZE</w:t>
      </w:r>
    </w:p>
    <w:p w:rsidR="0090010F" w:rsidRDefault="0090010F" w:rsidP="00900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Planirane obveze iskazane su temeljem stanja prikazanih u tablici.</w:t>
      </w:r>
    </w:p>
    <w:p w:rsidR="003257C4" w:rsidRDefault="003257C4" w:rsidP="00900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Znatnije povećanje ukupnih obveza na dan 31.12. u razdoblju 2023.-2025. planirano je zbog povećanih rashoda za informatizaciju za koje se planira prijenos obveze plaćanja u iduću godinu zbog rokova izvršenja ovih složenih poslova.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3544"/>
        <w:gridCol w:w="3680"/>
      </w:tblGrid>
      <w:tr w:rsidR="0090010F" w:rsidTr="00B646B2">
        <w:tc>
          <w:tcPr>
            <w:tcW w:w="1838" w:type="dxa"/>
          </w:tcPr>
          <w:p w:rsidR="0090010F" w:rsidRDefault="0090010F" w:rsidP="00B64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0010F" w:rsidRDefault="0090010F" w:rsidP="00B64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CA0">
              <w:rPr>
                <w:rFonts w:ascii="Times New Roman" w:hAnsi="Times New Roman" w:cs="Times New Roman"/>
                <w:sz w:val="24"/>
                <w:szCs w:val="24"/>
              </w:rPr>
              <w:t>Stanje obveza na dan 31.12.2021.</w:t>
            </w:r>
          </w:p>
        </w:tc>
        <w:tc>
          <w:tcPr>
            <w:tcW w:w="3680" w:type="dxa"/>
          </w:tcPr>
          <w:p w:rsidR="0090010F" w:rsidRDefault="0090010F" w:rsidP="00B64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CA0">
              <w:rPr>
                <w:rFonts w:ascii="Times New Roman" w:hAnsi="Times New Roman" w:cs="Times New Roman"/>
                <w:sz w:val="24"/>
                <w:szCs w:val="24"/>
              </w:rPr>
              <w:t>Stanje obveza na dan 30.06.2022.</w:t>
            </w:r>
          </w:p>
        </w:tc>
      </w:tr>
      <w:tr w:rsidR="0090010F" w:rsidTr="00B646B2">
        <w:tc>
          <w:tcPr>
            <w:tcW w:w="1838" w:type="dxa"/>
          </w:tcPr>
          <w:p w:rsidR="0090010F" w:rsidRDefault="0090010F" w:rsidP="00B646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Ukupne obveze</w:t>
            </w:r>
          </w:p>
        </w:tc>
        <w:tc>
          <w:tcPr>
            <w:tcW w:w="3544" w:type="dxa"/>
          </w:tcPr>
          <w:p w:rsidR="0090010F" w:rsidRPr="004C1762" w:rsidRDefault="0090010F" w:rsidP="004C1762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C17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14.862.506 kn</w:t>
            </w:r>
          </w:p>
        </w:tc>
        <w:tc>
          <w:tcPr>
            <w:tcW w:w="3680" w:type="dxa"/>
          </w:tcPr>
          <w:p w:rsidR="0090010F" w:rsidRPr="004C1762" w:rsidRDefault="0090010F" w:rsidP="004C1762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C17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14.894.512 kn</w:t>
            </w:r>
          </w:p>
        </w:tc>
      </w:tr>
      <w:tr w:rsidR="0090010F" w:rsidTr="00B646B2">
        <w:tc>
          <w:tcPr>
            <w:tcW w:w="1838" w:type="dxa"/>
          </w:tcPr>
          <w:p w:rsidR="0090010F" w:rsidRDefault="0090010F" w:rsidP="00B646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Dospjele obveze</w:t>
            </w:r>
          </w:p>
        </w:tc>
        <w:tc>
          <w:tcPr>
            <w:tcW w:w="3544" w:type="dxa"/>
          </w:tcPr>
          <w:p w:rsidR="0090010F" w:rsidRDefault="0090010F" w:rsidP="0090010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80" w:type="dxa"/>
          </w:tcPr>
          <w:p w:rsidR="0090010F" w:rsidRDefault="0090010F" w:rsidP="0090010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CA4A37" w:rsidRDefault="00CA4A37" w:rsidP="0002248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1762" w:rsidRDefault="00444F91" w:rsidP="0002248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4C1762" w:rsidRDefault="004C1762" w:rsidP="0002248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1762" w:rsidRDefault="004C1762" w:rsidP="0002248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2482" w:rsidRDefault="004C1762" w:rsidP="004C1762">
      <w:pPr>
        <w:spacing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bookmarkStart w:id="0" w:name="_GoBack"/>
      <w:bookmarkEnd w:id="0"/>
      <w:r w:rsidR="00444F91">
        <w:rPr>
          <w:rFonts w:ascii="Times New Roman" w:hAnsi="Times New Roman" w:cs="Times New Roman"/>
          <w:sz w:val="24"/>
          <w:szCs w:val="24"/>
        </w:rPr>
        <w:t>RAVNATELJ</w:t>
      </w:r>
    </w:p>
    <w:p w:rsidR="00444F91" w:rsidRDefault="00444F91" w:rsidP="0002248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Antun Vujić</w:t>
      </w:r>
    </w:p>
    <w:p w:rsidR="00022482" w:rsidRDefault="00022482" w:rsidP="0002248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2482" w:rsidRDefault="00022482" w:rsidP="0002248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2482" w:rsidRDefault="00022482" w:rsidP="0002248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1B6C" w:rsidRDefault="00F01B6C"/>
    <w:sectPr w:rsidR="00F01B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776315"/>
    <w:multiLevelType w:val="multilevel"/>
    <w:tmpl w:val="F6A6DC5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67E3078"/>
    <w:multiLevelType w:val="hybridMultilevel"/>
    <w:tmpl w:val="771256D8"/>
    <w:lvl w:ilvl="0" w:tplc="CFF4511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7BE"/>
    <w:rsid w:val="00022482"/>
    <w:rsid w:val="003257C4"/>
    <w:rsid w:val="00444F91"/>
    <w:rsid w:val="004C1762"/>
    <w:rsid w:val="00757B81"/>
    <w:rsid w:val="00767BCD"/>
    <w:rsid w:val="008867BE"/>
    <w:rsid w:val="0090010F"/>
    <w:rsid w:val="00A72B99"/>
    <w:rsid w:val="00AC0E76"/>
    <w:rsid w:val="00CA4A37"/>
    <w:rsid w:val="00D16E1C"/>
    <w:rsid w:val="00F01B6C"/>
    <w:rsid w:val="00F27344"/>
    <w:rsid w:val="00F36A78"/>
    <w:rsid w:val="00FB5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D0D60"/>
  <w15:chartTrackingRefBased/>
  <w15:docId w15:val="{13B1401C-46BE-4A1B-83C0-7C7C0955E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67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6E1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A4A37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9001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4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979</Words>
  <Characters>5583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Ivašković</dc:creator>
  <cp:keywords/>
  <dc:description/>
  <cp:lastModifiedBy>Gordana Ivašković</cp:lastModifiedBy>
  <cp:revision>4</cp:revision>
  <cp:lastPrinted>2022-10-04T14:25:00Z</cp:lastPrinted>
  <dcterms:created xsi:type="dcterms:W3CDTF">2022-09-30T06:42:00Z</dcterms:created>
  <dcterms:modified xsi:type="dcterms:W3CDTF">2022-10-17T10:02:00Z</dcterms:modified>
</cp:coreProperties>
</file>